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5A" w:rsidRPr="0026695A" w:rsidRDefault="0026695A" w:rsidP="007B15C9">
      <w:pPr>
        <w:tabs>
          <w:tab w:val="left" w:pos="-720"/>
          <w:tab w:val="left" w:pos="284"/>
          <w:tab w:val="left" w:pos="5422"/>
        </w:tabs>
        <w:suppressAutoHyphens/>
        <w:spacing w:line="240" w:lineRule="atLeast"/>
        <w:ind w:left="284" w:hanging="284"/>
        <w:jc w:val="center"/>
        <w:rPr>
          <w:rFonts w:ascii="Arial Narrow" w:hAnsi="Arial Narrow"/>
          <w:b/>
          <w:spacing w:val="-2"/>
          <w:lang w:val="en-US"/>
        </w:rPr>
      </w:pPr>
    </w:p>
    <w:p w:rsidR="007B15C9" w:rsidRPr="0026695A" w:rsidRDefault="007B15C9" w:rsidP="007B15C9">
      <w:pPr>
        <w:tabs>
          <w:tab w:val="left" w:pos="-720"/>
          <w:tab w:val="left" w:pos="284"/>
          <w:tab w:val="left" w:pos="5422"/>
        </w:tabs>
        <w:suppressAutoHyphens/>
        <w:spacing w:line="240" w:lineRule="atLeast"/>
        <w:ind w:left="284" w:hanging="284"/>
        <w:jc w:val="center"/>
        <w:rPr>
          <w:rFonts w:ascii="Arial Narrow" w:hAnsi="Arial Narrow"/>
          <w:b/>
          <w:spacing w:val="-2"/>
          <w:lang w:val="en-US"/>
        </w:rPr>
      </w:pPr>
      <w:r w:rsidRPr="0026695A">
        <w:rPr>
          <w:rFonts w:ascii="Arial Narrow" w:hAnsi="Arial Narrow"/>
          <w:b/>
          <w:spacing w:val="-2"/>
          <w:lang w:val="en-US"/>
        </w:rPr>
        <w:t>ANALYSIS OF THE TEACHING AND LEARNING ACTIVITIES OF THE TEXTBOOK</w:t>
      </w:r>
    </w:p>
    <w:p w:rsidR="00ED594E" w:rsidRDefault="006B23D0" w:rsidP="00C92797">
      <w:pPr>
        <w:widowControl w:val="0"/>
        <w:autoSpaceDE w:val="0"/>
        <w:autoSpaceDN w:val="0"/>
        <w:adjustRightInd w:val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© </w:t>
      </w:r>
      <w:proofErr w:type="spellStart"/>
      <w:r w:rsidR="00ED594E">
        <w:rPr>
          <w:sz w:val="16"/>
          <w:szCs w:val="16"/>
          <w:lang w:val="es-ES"/>
        </w:rPr>
        <w:t>Sources</w:t>
      </w:r>
      <w:proofErr w:type="spellEnd"/>
      <w:r w:rsidR="00ED594E">
        <w:rPr>
          <w:sz w:val="16"/>
          <w:szCs w:val="16"/>
          <w:lang w:val="es-ES"/>
        </w:rPr>
        <w:t>:</w:t>
      </w:r>
    </w:p>
    <w:p w:rsidR="00ED594E" w:rsidRPr="006B23D0" w:rsidRDefault="00D73B18" w:rsidP="006B23D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sz w:val="16"/>
          <w:szCs w:val="16"/>
          <w:lang w:val="es-ES_tradnl"/>
        </w:rPr>
      </w:pPr>
      <w:r w:rsidRPr="006B23D0">
        <w:rPr>
          <w:sz w:val="16"/>
          <w:szCs w:val="16"/>
          <w:lang w:val="es-ES"/>
        </w:rPr>
        <w:t xml:space="preserve">Madrid, D. y McLaren, N. (eds.) (2004). </w:t>
      </w:r>
      <w:proofErr w:type="spellStart"/>
      <w:r w:rsidRPr="006B23D0">
        <w:rPr>
          <w:i/>
          <w:sz w:val="16"/>
          <w:szCs w:val="16"/>
          <w:lang w:val="es-ES"/>
        </w:rPr>
        <w:t>TEFL</w:t>
      </w:r>
      <w:proofErr w:type="spellEnd"/>
      <w:r w:rsidRPr="006B23D0">
        <w:rPr>
          <w:i/>
          <w:sz w:val="16"/>
          <w:szCs w:val="16"/>
          <w:lang w:val="es-ES"/>
        </w:rPr>
        <w:t xml:space="preserve"> in </w:t>
      </w:r>
      <w:proofErr w:type="spellStart"/>
      <w:r w:rsidRPr="006B23D0">
        <w:rPr>
          <w:i/>
          <w:sz w:val="16"/>
          <w:szCs w:val="16"/>
          <w:lang w:val="es-ES"/>
        </w:rPr>
        <w:t>Primary</w:t>
      </w:r>
      <w:proofErr w:type="spellEnd"/>
      <w:r w:rsidRPr="006B23D0">
        <w:rPr>
          <w:i/>
          <w:sz w:val="16"/>
          <w:szCs w:val="16"/>
          <w:lang w:val="es-ES"/>
        </w:rPr>
        <w:t xml:space="preserve"> Education</w:t>
      </w:r>
      <w:r w:rsidRPr="006B23D0">
        <w:rPr>
          <w:sz w:val="16"/>
          <w:szCs w:val="16"/>
          <w:lang w:val="es-ES"/>
        </w:rPr>
        <w:t xml:space="preserve">. </w:t>
      </w:r>
      <w:r w:rsidRPr="006B23D0">
        <w:rPr>
          <w:sz w:val="16"/>
          <w:szCs w:val="16"/>
          <w:lang w:val="es-ES_tradnl"/>
        </w:rPr>
        <w:t>Granada: Editorial Universidad de Granada, ISBN  84-338-3202-6  Depósito Legal: GR./1.703-2004, page 176</w:t>
      </w:r>
      <w:r w:rsidR="00ED594E" w:rsidRPr="006B23D0">
        <w:rPr>
          <w:sz w:val="16"/>
          <w:szCs w:val="16"/>
          <w:lang w:val="es-ES_tradnl"/>
        </w:rPr>
        <w:t>.</w:t>
      </w:r>
    </w:p>
    <w:p w:rsidR="00D73B18" w:rsidRPr="006B23D0" w:rsidRDefault="00D31630" w:rsidP="006B23D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sz w:val="16"/>
          <w:szCs w:val="16"/>
        </w:rPr>
      </w:pPr>
      <w:r w:rsidRPr="006B23D0">
        <w:rPr>
          <w:sz w:val="16"/>
          <w:szCs w:val="16"/>
          <w:lang w:val="es-ES_tradnl"/>
        </w:rPr>
        <w:t xml:space="preserve">Madrid, D, y Ortega Martín, J. L. (2006). </w:t>
      </w:r>
      <w:r w:rsidRPr="006B23D0">
        <w:rPr>
          <w:sz w:val="16"/>
          <w:szCs w:val="16"/>
        </w:rPr>
        <w:t xml:space="preserve">Teaching Practice Workbook for Language Teachers. Granada: Grupo Editorial Universitario, ISBN 84-8491-733-9, </w:t>
      </w:r>
      <w:proofErr w:type="spellStart"/>
      <w:r w:rsidRPr="006B23D0">
        <w:rPr>
          <w:sz w:val="16"/>
          <w:szCs w:val="16"/>
        </w:rPr>
        <w:t>Depósito</w:t>
      </w:r>
      <w:proofErr w:type="spellEnd"/>
      <w:r w:rsidRPr="006B23D0">
        <w:rPr>
          <w:sz w:val="16"/>
          <w:szCs w:val="16"/>
        </w:rPr>
        <w:t xml:space="preserve"> Legal GR-1470-2006, page 82.</w:t>
      </w:r>
      <w:bookmarkStart w:id="0" w:name="_GoBack"/>
      <w:bookmarkEnd w:id="0"/>
    </w:p>
    <w:p w:rsidR="007B15C9" w:rsidRPr="00D31630" w:rsidRDefault="007B15C9" w:rsidP="007B15C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b/>
          <w:spacing w:val="-2"/>
          <w:sz w:val="22"/>
        </w:rPr>
      </w:pPr>
    </w:p>
    <w:p w:rsidR="007B15C9" w:rsidRPr="0026695A" w:rsidRDefault="007B15C9" w:rsidP="0026695A">
      <w:pPr>
        <w:tabs>
          <w:tab w:val="left" w:pos="-720"/>
          <w:tab w:val="left" w:pos="0"/>
          <w:tab w:val="left" w:pos="284"/>
          <w:tab w:val="left" w:pos="5422"/>
        </w:tabs>
        <w:suppressAutoHyphens/>
        <w:ind w:left="284"/>
        <w:rPr>
          <w:rFonts w:ascii="Arial Narrow" w:hAnsi="Arial Narrow"/>
          <w:spacing w:val="-2"/>
          <w:sz w:val="16"/>
          <w:szCs w:val="16"/>
          <w:lang w:val="en-US"/>
        </w:rPr>
      </w:pP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Use the English textbook for Primary Education. Select one teaching unit and </w:t>
      </w:r>
      <w:proofErr w:type="spellStart"/>
      <w:r w:rsidRPr="0026695A">
        <w:rPr>
          <w:rFonts w:ascii="Arial Narrow" w:hAnsi="Arial Narrow"/>
          <w:spacing w:val="-2"/>
          <w:sz w:val="16"/>
          <w:szCs w:val="16"/>
          <w:lang w:val="en-US"/>
        </w:rPr>
        <w:t>analyse</w:t>
      </w:r>
      <w:proofErr w:type="spellEnd"/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24 teaching and learning activities contained in the lesson (12 activities in the student’s book and 12 activities in the workbook). Notice that each activity must be </w:t>
      </w:r>
      <w:proofErr w:type="spellStart"/>
      <w:r w:rsidRPr="0026695A">
        <w:rPr>
          <w:rFonts w:ascii="Arial Narrow" w:hAnsi="Arial Narrow"/>
          <w:spacing w:val="-2"/>
          <w:sz w:val="16"/>
          <w:szCs w:val="16"/>
          <w:lang w:val="en-US"/>
        </w:rPr>
        <w:t>analysed</w:t>
      </w:r>
      <w:proofErr w:type="spellEnd"/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in relation to the 30 criteria on the left</w:t>
      </w:r>
      <w:r w:rsidR="00010E8A"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of the table below</w:t>
      </w: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. Indicate only the competences that are </w:t>
      </w:r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>explicitly developed</w:t>
      </w: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in each activity by ticking (</w:t>
      </w:r>
      <w:r w:rsidR="00010E8A" w:rsidRPr="0026695A">
        <w:rPr>
          <w:rFonts w:ascii="Arial Narrow" w:hAnsi="Arial Narrow"/>
          <w:spacing w:val="-2"/>
          <w:sz w:val="16"/>
          <w:szCs w:val="16"/>
          <w:lang w:val="en-US"/>
        </w:rPr>
        <w:t>y</w:t>
      </w:r>
      <w:proofErr w:type="gramStart"/>
      <w:r w:rsidRPr="0026695A">
        <w:rPr>
          <w:rFonts w:ascii="Arial Narrow" w:hAnsi="Arial Narrow"/>
          <w:spacing w:val="-2"/>
          <w:sz w:val="16"/>
          <w:szCs w:val="16"/>
          <w:lang w:val="en-US"/>
        </w:rPr>
        <w:t>=  yes</w:t>
      </w:r>
      <w:proofErr w:type="gramEnd"/>
      <w:r w:rsidR="00010E8A"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, </w:t>
      </w: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</w:t>
      </w:r>
      <w:r w:rsidR="00010E8A" w:rsidRPr="0026695A">
        <w:rPr>
          <w:rFonts w:ascii="Arial Narrow" w:hAnsi="Arial Narrow"/>
          <w:spacing w:val="-2"/>
          <w:sz w:val="16"/>
          <w:szCs w:val="16"/>
          <w:lang w:val="en-US"/>
        </w:rPr>
        <w:t>n</w:t>
      </w: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= no) in the right squares. You can use the following table or develop a </w:t>
      </w:r>
      <w:r w:rsidR="005E616D" w:rsidRPr="0026695A">
        <w:rPr>
          <w:rFonts w:ascii="Arial Narrow" w:hAnsi="Arial Narrow"/>
          <w:spacing w:val="-2"/>
          <w:sz w:val="16"/>
          <w:szCs w:val="16"/>
          <w:lang w:val="en-US"/>
        </w:rPr>
        <w:t>similar one:</w:t>
      </w:r>
      <w:r w:rsidRPr="0026695A">
        <w:rPr>
          <w:rFonts w:ascii="Arial Narrow" w:hAnsi="Arial Narrow"/>
          <w:spacing w:val="-2"/>
          <w:sz w:val="16"/>
          <w:szCs w:val="16"/>
          <w:lang w:val="en-US"/>
        </w:rPr>
        <w:t xml:space="preserve"> </w:t>
      </w:r>
    </w:p>
    <w:p w:rsidR="007B15C9" w:rsidRPr="0026695A" w:rsidRDefault="007B15C9" w:rsidP="007B15C9">
      <w:pPr>
        <w:tabs>
          <w:tab w:val="left" w:pos="-720"/>
          <w:tab w:val="left" w:pos="0"/>
          <w:tab w:val="left" w:pos="5422"/>
        </w:tabs>
        <w:suppressAutoHyphens/>
        <w:spacing w:line="240" w:lineRule="atLeast"/>
        <w:ind w:left="426"/>
        <w:rPr>
          <w:rFonts w:ascii="Arial Narrow" w:hAnsi="Arial Narrow"/>
          <w:spacing w:val="-2"/>
          <w:sz w:val="18"/>
          <w:szCs w:val="18"/>
          <w:lang w:val="en-US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26695A">
              <w:rPr>
                <w:rFonts w:ascii="Arial Narrow" w:hAnsi="Arial Narrow"/>
                <w:b/>
                <w:lang w:val="es-ES"/>
              </w:rPr>
              <w:t>TEACHING</w:t>
            </w:r>
            <w:proofErr w:type="spellEnd"/>
            <w:r w:rsidRPr="0026695A">
              <w:rPr>
                <w:rFonts w:ascii="Arial Narrow" w:hAnsi="Arial Narrow"/>
                <w:b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b/>
                <w:lang w:val="es-ES"/>
              </w:rPr>
              <w:t>UNIT</w:t>
            </w:r>
            <w:proofErr w:type="spellEnd"/>
            <w:r w:rsidRPr="0026695A">
              <w:rPr>
                <w:rFonts w:ascii="Arial Narrow" w:hAnsi="Arial Narrow"/>
                <w:b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b/>
                <w:lang w:val="es-ES"/>
              </w:rPr>
              <w:t>ANALYSIS</w:t>
            </w:r>
            <w:proofErr w:type="spellEnd"/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0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n-US"/>
              </w:rPr>
              <w:t>ANALYSIS OF ACTIVITIES FROM THE STUDENT’S BOOK AND  WORKBOOK</w:t>
            </w: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 xml:space="preserve">1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 xml:space="preserve">2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23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z w:val="16"/>
                <w:szCs w:val="16"/>
                <w:lang w:val="es-ES"/>
              </w:rPr>
              <w:t>24</w:t>
            </w: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  <w:r w:rsidRPr="0026695A">
              <w:rPr>
                <w:rFonts w:ascii="Arial Narrow" w:hAnsi="Arial Narrow"/>
                <w:b/>
                <w:color w:val="000000"/>
                <w:spacing w:val="-2"/>
                <w:sz w:val="20"/>
                <w:szCs w:val="20"/>
                <w:lang w:val="en-US"/>
              </w:rPr>
              <w:t>KNOWLEDGE OF LANGUAGE  / LINGUISTIC COMPONENTS</w:t>
            </w: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lang w:val="es-ES"/>
              </w:rPr>
            </w:pP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Linguistic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aspects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 /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competence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:</w:t>
            </w: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1.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Grammar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Vocabulary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3.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Phonetics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4.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Spelling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lang w:val="es-ES"/>
              </w:rPr>
            </w:pP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Sociolinguistic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pragmatic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aspects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/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competence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:</w:t>
            </w: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  <w:tab w:val="left" w:pos="0"/>
                <w:tab w:val="left" w:pos="1276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5.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Functions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/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Speech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acts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  <w:t>6. Discourse Competence</w:t>
            </w:r>
          </w:p>
          <w:p w:rsidR="007B15C9" w:rsidRPr="0026695A" w:rsidRDefault="007B15C9">
            <w:pPr>
              <w:tabs>
                <w:tab w:val="left" w:pos="-720"/>
                <w:tab w:val="left" w:pos="0"/>
                <w:tab w:val="left" w:pos="1276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  <w:t xml:space="preserve"> (working with texts)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26695A">
              <w:rPr>
                <w:rFonts w:ascii="Arial Narrow" w:hAnsi="Arial Narrow"/>
                <w:b/>
                <w:color w:val="000000"/>
                <w:spacing w:val="-2"/>
                <w:sz w:val="20"/>
                <w:szCs w:val="20"/>
                <w:lang w:val="en-US"/>
              </w:rPr>
              <w:t xml:space="preserve">LISTENING, SPEAKING AND SPOKEN INTERACTION – ORAL COMMUNICATION </w:t>
            </w: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600"/>
                <w:tab w:val="left" w:pos="1276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7. Listening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600"/>
                <w:tab w:val="left" w:pos="1276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8. Speaking &amp; reciting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600"/>
                <w:tab w:val="left" w:pos="1276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9. Interaction: listening-speaking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600"/>
                <w:tab w:val="left" w:pos="1276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10. Listening and  reading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600"/>
                <w:tab w:val="left" w:pos="1276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11. Speaking and reading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26695A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  <w:lang w:val="en-US"/>
              </w:rPr>
              <w:t>READING AND WRITING -WRITTEN COMMUNICATION</w:t>
            </w: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1276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12. Reading (silent and aloud)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1276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 xml:space="preserve">13. Writing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1276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spacing w:val="-3"/>
                <w:sz w:val="16"/>
                <w:szCs w:val="16"/>
                <w:lang w:val="en-US"/>
              </w:rPr>
              <w:t>14. Interaction:  reading-writing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trHeight w:val="32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spacing w:line="240" w:lineRule="atLeast"/>
              <w:ind w:left="271" w:hanging="271"/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15*. </w:t>
            </w:r>
            <w:proofErr w:type="spellStart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>EXISTENTIAL</w:t>
            </w:r>
            <w:proofErr w:type="spellEnd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   </w:t>
            </w:r>
            <w:proofErr w:type="spellStart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>COMPETENCE</w:t>
            </w:r>
            <w:proofErr w:type="spellEnd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26695A">
              <w:rPr>
                <w:rFonts w:ascii="Arial Narrow" w:hAnsi="Arial Narrow"/>
                <w:color w:val="000000"/>
                <w:spacing w:val="-2"/>
                <w:sz w:val="16"/>
                <w:szCs w:val="16"/>
                <w:lang w:val="es-ES"/>
              </w:rPr>
              <w:t>see</w:t>
            </w:r>
            <w:proofErr w:type="spellEnd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color w:val="000000"/>
                <w:spacing w:val="-2"/>
                <w:sz w:val="16"/>
                <w:szCs w:val="16"/>
                <w:lang w:val="es-ES"/>
              </w:rPr>
              <w:t>below</w:t>
            </w:r>
            <w:proofErr w:type="spellEnd"/>
            <w:r w:rsidRPr="0026695A">
              <w:rPr>
                <w:rFonts w:ascii="Arial Narrow" w:hAnsi="Arial Narrow"/>
                <w:color w:val="000000"/>
                <w:spacing w:val="-2"/>
                <w:sz w:val="16"/>
                <w:szCs w:val="16"/>
                <w:lang w:val="es-ES"/>
              </w:rPr>
              <w:t>).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16*. </w:t>
            </w:r>
            <w:proofErr w:type="spellStart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>LEARNING</w:t>
            </w:r>
            <w:proofErr w:type="spellEnd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 TO  </w:t>
            </w:r>
            <w:proofErr w:type="spellStart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>LEARN</w:t>
            </w:r>
            <w:proofErr w:type="spellEnd"/>
            <w:r w:rsidRPr="0026695A">
              <w:rPr>
                <w:rFonts w:ascii="Arial Narrow" w:hAnsi="Arial Narrow"/>
                <w:b/>
                <w:color w:val="000000"/>
                <w:spacing w:val="-2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trHeight w:val="58"/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ind w:left="271" w:hanging="271"/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  <w:t xml:space="preserve">17. </w:t>
            </w: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(INTER)CULTURAL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aspects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  <w:t xml:space="preserve">18*. BASIC COMPETENCES </w:t>
            </w:r>
          </w:p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</w:pP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  <w:t>CLIL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  <w:t xml:space="preserve"> &amp; cross-curricular act.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</w:pP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n-US"/>
              </w:rPr>
              <w:t>19*. ATTENTION TO DIVERSITY  (for HA &amp; LA)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n-U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20*.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VALUES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lang w:val="es-ES"/>
              </w:rPr>
            </w:pPr>
            <w:proofErr w:type="spellStart"/>
            <w:r w:rsidRPr="0026695A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>INTERACTION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>GROUPING</w:t>
            </w:r>
            <w:proofErr w:type="spellEnd"/>
            <w:r w:rsidRPr="0026695A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>TECHNIQUES</w:t>
            </w:r>
            <w:proofErr w:type="spellEnd"/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21.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Teacher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whole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class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22.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Teacher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Student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23.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Pair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work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St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sym w:font="Wingdings" w:char="F0E0"/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St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24.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Independent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work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25.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Group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work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100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proofErr w:type="spellStart"/>
            <w:r w:rsidRPr="0026695A">
              <w:rPr>
                <w:rFonts w:ascii="Arial Narrow" w:hAnsi="Arial Narrow"/>
                <w:b/>
                <w:sz w:val="20"/>
                <w:szCs w:val="20"/>
                <w:lang w:val="es-ES"/>
              </w:rPr>
              <w:t>MATERIALS</w:t>
            </w:r>
            <w:proofErr w:type="spellEnd"/>
            <w:r w:rsidRPr="0026695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6695A">
              <w:rPr>
                <w:rFonts w:ascii="Arial Narrow" w:hAnsi="Arial Narrow"/>
                <w:b/>
                <w:sz w:val="20"/>
                <w:szCs w:val="20"/>
                <w:lang w:val="es-ES"/>
              </w:rPr>
              <w:t>RESOURCES</w:t>
            </w:r>
            <w:proofErr w:type="spellEnd"/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26. (Text)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book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27.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Pictures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28.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Recordings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29.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ICT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/internet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30. Notebook/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Workbook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/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sheets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  <w:tr w:rsidR="007B15C9" w:rsidRPr="0026695A" w:rsidTr="007B15C9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9" w:rsidRPr="0026695A" w:rsidRDefault="007B15C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</w:pPr>
            <w:r w:rsidRPr="0026695A">
              <w:rPr>
                <w:rFonts w:ascii="Arial Narrow" w:hAnsi="Arial Narrow"/>
                <w:b/>
                <w:spacing w:val="-2"/>
                <w:sz w:val="16"/>
                <w:szCs w:val="16"/>
                <w:lang w:val="es-ES"/>
              </w:rPr>
              <w:t>31*</w:t>
            </w:r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Others</w:t>
            </w:r>
            <w:proofErr w:type="spellEnd"/>
            <w:r w:rsidRPr="0026695A">
              <w:rPr>
                <w:rFonts w:ascii="Arial Narrow" w:hAnsi="Arial Narrow"/>
                <w:spacing w:val="-2"/>
                <w:sz w:val="16"/>
                <w:szCs w:val="16"/>
                <w:lang w:val="es-ES"/>
              </w:rPr>
              <w:t>: .............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26695A" w:rsidRDefault="007B15C9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20"/>
          <w:szCs w:val="20"/>
          <w:lang w:val="es-ES"/>
        </w:rPr>
      </w:pP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>15*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 </w:t>
      </w:r>
      <w:r w:rsidRPr="0026695A">
        <w:rPr>
          <w:rFonts w:ascii="Arial Narrow" w:hAnsi="Arial Narrow"/>
          <w:b/>
          <w:sz w:val="16"/>
          <w:szCs w:val="16"/>
          <w:lang w:val="en-US"/>
        </w:rPr>
        <w:t>Existential competence</w:t>
      </w:r>
      <w:r w:rsidRPr="0026695A">
        <w:rPr>
          <w:rFonts w:ascii="Arial Narrow" w:hAnsi="Arial Narrow"/>
          <w:sz w:val="16"/>
          <w:szCs w:val="16"/>
          <w:lang w:val="en-US"/>
        </w:rPr>
        <w:t>: A = attitudes (ex.: openness</w:t>
      </w:r>
      <w:proofErr w:type="gramStart"/>
      <w:r w:rsidRPr="0026695A">
        <w:rPr>
          <w:rFonts w:ascii="Arial Narrow" w:hAnsi="Arial Narrow"/>
          <w:sz w:val="16"/>
          <w:szCs w:val="16"/>
          <w:lang w:val="en-US"/>
        </w:rPr>
        <w:t>, ..</w:t>
      </w:r>
      <w:proofErr w:type="gramEnd"/>
      <w:r w:rsidRPr="0026695A">
        <w:rPr>
          <w:rFonts w:ascii="Arial Narrow" w:hAnsi="Arial Narrow"/>
          <w:sz w:val="16"/>
          <w:szCs w:val="16"/>
          <w:lang w:val="en-US"/>
        </w:rPr>
        <w:t xml:space="preserve">); M = </w:t>
      </w:r>
      <w:r w:rsidRPr="0026695A">
        <w:rPr>
          <w:rFonts w:ascii="Arial Narrow" w:hAnsi="Arial Narrow"/>
          <w:b/>
          <w:sz w:val="16"/>
          <w:szCs w:val="16"/>
          <w:lang w:val="en-US"/>
        </w:rPr>
        <w:t>motivations</w:t>
      </w:r>
      <w:r w:rsidRPr="0026695A">
        <w:rPr>
          <w:rFonts w:ascii="Arial Narrow" w:hAnsi="Arial Narrow"/>
          <w:sz w:val="16"/>
          <w:szCs w:val="16"/>
          <w:lang w:val="en-US"/>
        </w:rPr>
        <w:t xml:space="preserve"> (ex.: intrinsic, instrumental, ..); V = values (ethical &amp; moral, see 20); B = beliefs (ex.: ideological, religious, ..); PF = personality factors (ex.: extroversion, ...)</w:t>
      </w: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lastRenderedPageBreak/>
        <w:t>16*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 </w:t>
      </w:r>
      <w:r w:rsidRPr="0026695A">
        <w:rPr>
          <w:rFonts w:ascii="Arial Narrow" w:hAnsi="Arial Narrow"/>
          <w:b/>
          <w:sz w:val="16"/>
          <w:szCs w:val="16"/>
          <w:lang w:val="en-US"/>
        </w:rPr>
        <w:t>Learning to learn</w:t>
      </w:r>
      <w:r w:rsidRPr="0026695A">
        <w:rPr>
          <w:rFonts w:ascii="Arial Narrow" w:hAnsi="Arial Narrow"/>
          <w:sz w:val="16"/>
          <w:szCs w:val="16"/>
          <w:lang w:val="en-US"/>
        </w:rPr>
        <w:t xml:space="preserve">: LA = language awareness; SK = study skills; HS = heuristic skills; </w:t>
      </w:r>
      <w:proofErr w:type="spellStart"/>
      <w:r w:rsidRPr="0026695A">
        <w:rPr>
          <w:rFonts w:ascii="Arial Narrow" w:hAnsi="Arial Narrow"/>
          <w:sz w:val="16"/>
          <w:szCs w:val="16"/>
          <w:lang w:val="en-US"/>
        </w:rPr>
        <w:t>RL</w:t>
      </w:r>
      <w:proofErr w:type="spellEnd"/>
      <w:r w:rsidRPr="0026695A">
        <w:rPr>
          <w:rFonts w:ascii="Arial Narrow" w:hAnsi="Arial Narrow"/>
          <w:sz w:val="16"/>
          <w:szCs w:val="16"/>
          <w:lang w:val="en-US"/>
        </w:rPr>
        <w:t xml:space="preserve"> = reflection on learning, </w:t>
      </w:r>
      <w:r w:rsidRPr="0026695A">
        <w:rPr>
          <w:rFonts w:ascii="Arial Narrow" w:hAnsi="Arial Narrow"/>
          <w:b/>
          <w:sz w:val="16"/>
          <w:szCs w:val="16"/>
          <w:lang w:val="en-US"/>
        </w:rPr>
        <w:t>metacognition</w:t>
      </w:r>
    </w:p>
    <w:p w:rsidR="007B15C9" w:rsidRPr="0026695A" w:rsidRDefault="007B15C9" w:rsidP="007B15C9">
      <w:pPr>
        <w:tabs>
          <w:tab w:val="left" w:pos="-720"/>
        </w:tabs>
        <w:suppressAutoHyphens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 xml:space="preserve">    18*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 </w:t>
      </w:r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 xml:space="preserve">BASIC COMPETENCES, </w:t>
      </w:r>
      <w:proofErr w:type="spellStart"/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>CLIL</w:t>
      </w:r>
      <w:proofErr w:type="spellEnd"/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 xml:space="preserve"> &amp; cross-curricular </w:t>
      </w:r>
      <w:proofErr w:type="gramStart"/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>act.:</w:t>
      </w:r>
      <w:proofErr w:type="gramEnd"/>
      <w:r w:rsidRPr="0026695A">
        <w:rPr>
          <w:rFonts w:ascii="Arial Narrow" w:hAnsi="Arial Narrow"/>
          <w:b/>
          <w:spacing w:val="-2"/>
          <w:sz w:val="16"/>
          <w:szCs w:val="16"/>
          <w:lang w:val="en-US"/>
        </w:rPr>
        <w:t xml:space="preserve"> </w:t>
      </w:r>
      <w:r w:rsidRPr="0026695A">
        <w:rPr>
          <w:rFonts w:ascii="Arial Narrow" w:hAnsi="Arial Narrow"/>
          <w:sz w:val="16"/>
          <w:szCs w:val="16"/>
          <w:lang w:val="en-US"/>
        </w:rPr>
        <w:t xml:space="preserve">M = mathematical comp.; NW = natural world; I = internet, new technologies; SK = social and civic skills; </w:t>
      </w:r>
      <w:proofErr w:type="spellStart"/>
      <w:r w:rsidRPr="0026695A">
        <w:rPr>
          <w:rFonts w:ascii="Arial Narrow" w:hAnsi="Arial Narrow"/>
          <w:sz w:val="16"/>
          <w:szCs w:val="16"/>
          <w:lang w:val="en-US"/>
        </w:rPr>
        <w:t>A&amp;C</w:t>
      </w:r>
      <w:proofErr w:type="spellEnd"/>
      <w:r w:rsidRPr="0026695A">
        <w:rPr>
          <w:rFonts w:ascii="Arial Narrow" w:hAnsi="Arial Narrow"/>
          <w:sz w:val="16"/>
          <w:szCs w:val="16"/>
          <w:lang w:val="en-US"/>
        </w:rPr>
        <w:t xml:space="preserve"> =</w:t>
      </w:r>
    </w:p>
    <w:p w:rsidR="007B15C9" w:rsidRPr="0026695A" w:rsidRDefault="007B15C9" w:rsidP="007B15C9">
      <w:pPr>
        <w:tabs>
          <w:tab w:val="left" w:pos="-720"/>
        </w:tabs>
        <w:suppressAutoHyphens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 xml:space="preserve">               </w:t>
      </w:r>
      <w:proofErr w:type="gramStart"/>
      <w:r w:rsidRPr="0026695A">
        <w:rPr>
          <w:rFonts w:ascii="Arial Narrow" w:hAnsi="Arial Narrow"/>
          <w:sz w:val="16"/>
          <w:szCs w:val="16"/>
          <w:lang w:val="en-US"/>
        </w:rPr>
        <w:t>art</w:t>
      </w:r>
      <w:proofErr w:type="gramEnd"/>
      <w:r w:rsidRPr="0026695A">
        <w:rPr>
          <w:rFonts w:ascii="Arial Narrow" w:hAnsi="Arial Narrow"/>
          <w:sz w:val="16"/>
          <w:szCs w:val="16"/>
          <w:lang w:val="en-US"/>
        </w:rPr>
        <w:t xml:space="preserve"> and cultural,  LL =see 16; AW = autonomous work (LC = linguistic competence; it is supposed to be developed in each activity); HE = health education, etc.</w:t>
      </w: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 xml:space="preserve">19* 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</w:t>
      </w:r>
      <w:r w:rsidRPr="0026695A">
        <w:rPr>
          <w:rFonts w:ascii="Arial Narrow" w:hAnsi="Arial Narrow"/>
          <w:b/>
          <w:sz w:val="16"/>
          <w:szCs w:val="16"/>
          <w:lang w:val="en-US"/>
        </w:rPr>
        <w:t>Attention to diversity</w:t>
      </w:r>
      <w:r w:rsidRPr="0026695A">
        <w:rPr>
          <w:rFonts w:ascii="Arial Narrow" w:hAnsi="Arial Narrow"/>
          <w:sz w:val="16"/>
          <w:szCs w:val="16"/>
          <w:lang w:val="en-US"/>
        </w:rPr>
        <w:t>: HA = for high achievers, LA = for low achievers</w:t>
      </w: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>20*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 </w:t>
      </w:r>
      <w:r w:rsidRPr="0026695A">
        <w:rPr>
          <w:rFonts w:ascii="Arial Narrow" w:hAnsi="Arial Narrow"/>
          <w:b/>
          <w:sz w:val="16"/>
          <w:szCs w:val="16"/>
          <w:lang w:val="en-US"/>
        </w:rPr>
        <w:t>Values</w:t>
      </w:r>
      <w:r w:rsidRPr="0026695A">
        <w:rPr>
          <w:rFonts w:ascii="Arial Narrow" w:hAnsi="Arial Narrow"/>
          <w:sz w:val="16"/>
          <w:szCs w:val="16"/>
          <w:lang w:val="en-US"/>
        </w:rPr>
        <w:t xml:space="preserve">: GE = gender equality, EP = education for peace, SI = social integration, S </w:t>
      </w:r>
      <w:proofErr w:type="gramStart"/>
      <w:r w:rsidRPr="0026695A">
        <w:rPr>
          <w:rFonts w:ascii="Arial Narrow" w:hAnsi="Arial Narrow"/>
          <w:sz w:val="16"/>
          <w:szCs w:val="16"/>
          <w:lang w:val="en-US"/>
        </w:rPr>
        <w:t>=  solidarity</w:t>
      </w:r>
      <w:proofErr w:type="gramEnd"/>
      <w:r w:rsidRPr="0026695A">
        <w:rPr>
          <w:rFonts w:ascii="Arial Narrow" w:hAnsi="Arial Narrow"/>
          <w:sz w:val="16"/>
          <w:szCs w:val="16"/>
          <w:lang w:val="en-US"/>
        </w:rPr>
        <w:t>, HE = (to value) health education, T =  appreciating our traditions</w:t>
      </w: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16"/>
          <w:szCs w:val="16"/>
          <w:lang w:val="en-US"/>
        </w:rPr>
      </w:pPr>
      <w:r w:rsidRPr="0026695A">
        <w:rPr>
          <w:rFonts w:ascii="Arial Narrow" w:hAnsi="Arial Narrow"/>
          <w:sz w:val="16"/>
          <w:szCs w:val="16"/>
          <w:lang w:val="en-US"/>
        </w:rPr>
        <w:t>31*</w:t>
      </w:r>
      <w:r w:rsidRPr="0026695A">
        <w:rPr>
          <w:rFonts w:ascii="Arial Narrow" w:hAnsi="Arial Narrow"/>
          <w:sz w:val="16"/>
          <w:szCs w:val="16"/>
          <w:lang w:val="es-ES"/>
        </w:rPr>
        <w:sym w:font="Wingdings" w:char="F0E0"/>
      </w:r>
      <w:r w:rsidRPr="0026695A">
        <w:rPr>
          <w:rFonts w:ascii="Arial Narrow" w:hAnsi="Arial Narrow"/>
          <w:sz w:val="16"/>
          <w:szCs w:val="16"/>
          <w:lang w:val="en-US"/>
        </w:rPr>
        <w:t xml:space="preserve">  </w:t>
      </w:r>
      <w:proofErr w:type="gramStart"/>
      <w:r w:rsidRPr="0026695A">
        <w:rPr>
          <w:rFonts w:ascii="Arial Narrow" w:hAnsi="Arial Narrow"/>
          <w:b/>
          <w:sz w:val="16"/>
          <w:szCs w:val="16"/>
          <w:lang w:val="en-US"/>
        </w:rPr>
        <w:t>Others</w:t>
      </w:r>
      <w:proofErr w:type="gramEnd"/>
      <w:r w:rsidRPr="0026695A">
        <w:rPr>
          <w:rFonts w:ascii="Arial Narrow" w:hAnsi="Arial Narrow"/>
          <w:sz w:val="16"/>
          <w:szCs w:val="16"/>
          <w:lang w:val="en-US"/>
        </w:rPr>
        <w:t xml:space="preserve">: F = flashcards; R = real objects, </w:t>
      </w:r>
      <w:proofErr w:type="spellStart"/>
      <w:r w:rsidRPr="0026695A">
        <w:rPr>
          <w:rFonts w:ascii="Arial Narrow" w:hAnsi="Arial Narrow"/>
          <w:sz w:val="16"/>
          <w:szCs w:val="16"/>
          <w:lang w:val="en-US"/>
        </w:rPr>
        <w:t>realia</w:t>
      </w:r>
      <w:proofErr w:type="spellEnd"/>
      <w:r w:rsidRPr="0026695A">
        <w:rPr>
          <w:rFonts w:ascii="Arial Narrow" w:hAnsi="Arial Narrow"/>
          <w:sz w:val="16"/>
          <w:szCs w:val="16"/>
          <w:lang w:val="en-US"/>
        </w:rPr>
        <w:t>, etc.</w:t>
      </w:r>
    </w:p>
    <w:p w:rsidR="007B15C9" w:rsidRPr="0026695A" w:rsidRDefault="007B15C9" w:rsidP="007B15C9">
      <w:pPr>
        <w:tabs>
          <w:tab w:val="left" w:pos="709"/>
        </w:tabs>
        <w:ind w:left="709" w:hanging="567"/>
        <w:rPr>
          <w:rFonts w:ascii="Arial Narrow" w:hAnsi="Arial Narrow"/>
          <w:sz w:val="20"/>
          <w:szCs w:val="20"/>
          <w:lang w:val="en-US"/>
        </w:rPr>
      </w:pPr>
    </w:p>
    <w:p w:rsidR="007B15C9" w:rsidRPr="0026695A" w:rsidRDefault="007B15C9" w:rsidP="007B15C9">
      <w:pPr>
        <w:tabs>
          <w:tab w:val="left" w:pos="-720"/>
          <w:tab w:val="left" w:pos="0"/>
          <w:tab w:val="left" w:pos="5422"/>
        </w:tabs>
        <w:suppressAutoHyphens/>
        <w:spacing w:line="240" w:lineRule="atLeast"/>
        <w:jc w:val="both"/>
        <w:rPr>
          <w:rFonts w:ascii="Arial Narrow" w:hAnsi="Arial Narrow"/>
          <w:spacing w:val="-2"/>
          <w:sz w:val="18"/>
          <w:lang w:val="en-US"/>
        </w:rPr>
      </w:pPr>
      <w:r w:rsidRPr="0026695A">
        <w:rPr>
          <w:rFonts w:ascii="Arial Narrow" w:hAnsi="Arial Narrow"/>
          <w:spacing w:val="-2"/>
          <w:sz w:val="18"/>
          <w:lang w:val="en-US"/>
        </w:rPr>
        <w:t>Which competences and aspects receive most attention? Which ones are neglected? Make a brief report.</w:t>
      </w:r>
    </w:p>
    <w:p w:rsidR="00C54368" w:rsidRPr="0026695A" w:rsidRDefault="00C54368">
      <w:pPr>
        <w:rPr>
          <w:rFonts w:ascii="Arial Narrow" w:hAnsi="Arial Narrow"/>
          <w:lang w:val="en-US"/>
        </w:rPr>
      </w:pPr>
    </w:p>
    <w:sectPr w:rsidR="00C54368" w:rsidRPr="0026695A" w:rsidSect="007B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97E9C"/>
    <w:multiLevelType w:val="hybridMultilevel"/>
    <w:tmpl w:val="B6707AC2"/>
    <w:lvl w:ilvl="0" w:tplc="266EA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71FD"/>
    <w:multiLevelType w:val="hybridMultilevel"/>
    <w:tmpl w:val="8E1C4F4C"/>
    <w:lvl w:ilvl="0" w:tplc="3F840FF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9"/>
    <w:rsid w:val="00010E8A"/>
    <w:rsid w:val="0026695A"/>
    <w:rsid w:val="0054365E"/>
    <w:rsid w:val="005E616D"/>
    <w:rsid w:val="006B23D0"/>
    <w:rsid w:val="007B15C9"/>
    <w:rsid w:val="009D27CB"/>
    <w:rsid w:val="00C54368"/>
    <w:rsid w:val="00C92797"/>
    <w:rsid w:val="00D31630"/>
    <w:rsid w:val="00D73B18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A1A3-2DC9-4BD0-B736-743E8110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2024-04-05T09:09:00Z</dcterms:created>
  <dcterms:modified xsi:type="dcterms:W3CDTF">2024-04-06T11:54:00Z</dcterms:modified>
</cp:coreProperties>
</file>